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0C" w:rsidRDefault="00FD540C" w:rsidP="00251E05">
      <w:pPr>
        <w:pStyle w:val="Titolo1"/>
        <w:shd w:val="clear" w:color="auto" w:fill="B4C6E7" w:themeFill="accent1" w:themeFillTint="66"/>
        <w:contextualSpacing/>
        <w:jc w:val="center"/>
        <w:rPr>
          <w:rFonts w:ascii="Calibri" w:hAnsi="Calibri"/>
          <w:i/>
          <w:iCs/>
          <w:color w:val="C00000"/>
          <w:sz w:val="20"/>
          <w:szCs w:val="20"/>
        </w:rPr>
      </w:pPr>
    </w:p>
    <w:p w:rsidR="00FD540C" w:rsidRPr="00362658" w:rsidRDefault="00FD540C" w:rsidP="00251E05">
      <w:pPr>
        <w:pStyle w:val="Titolo1"/>
        <w:shd w:val="clear" w:color="auto" w:fill="B4C6E7" w:themeFill="accent1" w:themeFillTint="66"/>
        <w:contextualSpacing/>
        <w:jc w:val="center"/>
        <w:rPr>
          <w:rFonts w:ascii="Calibri" w:hAnsi="Calibri"/>
          <w:i/>
          <w:iCs/>
          <w:color w:val="C00000"/>
          <w:sz w:val="24"/>
          <w:szCs w:val="24"/>
        </w:rPr>
      </w:pPr>
      <w:r w:rsidRPr="00362658">
        <w:rPr>
          <w:rFonts w:ascii="Calibri" w:hAnsi="Calibri"/>
          <w:i/>
          <w:iCs/>
          <w:color w:val="C00000"/>
          <w:sz w:val="24"/>
          <w:szCs w:val="24"/>
        </w:rPr>
        <w:t>ORDINE DEI FARMACISTI DELLA PROVINCIA DI MESSINA</w:t>
      </w:r>
    </w:p>
    <w:p w:rsidR="00FD540C" w:rsidRPr="00273505" w:rsidRDefault="00FD540C" w:rsidP="00251E05">
      <w:pPr>
        <w:pStyle w:val="Titolo1"/>
        <w:shd w:val="clear" w:color="auto" w:fill="B4C6E7" w:themeFill="accent1" w:themeFillTint="66"/>
        <w:contextualSpacing/>
        <w:jc w:val="center"/>
        <w:rPr>
          <w:rFonts w:ascii="Calibri" w:hAnsi="Calibri"/>
          <w:sz w:val="24"/>
          <w:szCs w:val="24"/>
        </w:rPr>
      </w:pPr>
      <w:r w:rsidRPr="00A77A17">
        <w:rPr>
          <w:rFonts w:ascii="Calibri" w:hAnsi="Calibri"/>
          <w:sz w:val="24"/>
          <w:szCs w:val="24"/>
        </w:rPr>
        <w:t>OBIETTIVI STRATEGICI IN MATERIA DI PREVENZIONE DELLA CORRUZIONE E TRASPARENZA</w:t>
      </w:r>
      <w:r w:rsidRPr="00273505">
        <w:rPr>
          <w:rFonts w:ascii="Calibri" w:hAnsi="Calibri"/>
          <w:sz w:val="24"/>
          <w:szCs w:val="24"/>
        </w:rPr>
        <w:t xml:space="preserve">PER IL TRIENNIO 2024-2026 </w:t>
      </w:r>
    </w:p>
    <w:p w:rsidR="00FD540C" w:rsidRPr="00273505" w:rsidRDefault="00FD540C" w:rsidP="00251E05">
      <w:pPr>
        <w:shd w:val="clear" w:color="auto" w:fill="B4C6E7" w:themeFill="accent1" w:themeFillTint="66"/>
        <w:contextualSpacing/>
        <w:jc w:val="center"/>
        <w:rPr>
          <w:rFonts w:ascii="Calibri" w:hAnsi="Calibri"/>
          <w:b/>
          <w:bCs/>
          <w:sz w:val="16"/>
          <w:szCs w:val="16"/>
          <w:u w:val="single"/>
        </w:rPr>
      </w:pPr>
    </w:p>
    <w:p w:rsidR="00FD540C" w:rsidRPr="00D02E44" w:rsidRDefault="00FD540C" w:rsidP="00FD540C">
      <w:pPr>
        <w:rPr>
          <w:rFonts w:ascii="Calibri" w:hAnsi="Calibri"/>
          <w:bCs/>
          <w:sz w:val="10"/>
          <w:szCs w:val="10"/>
        </w:rPr>
      </w:pPr>
    </w:p>
    <w:p w:rsidR="00FD540C" w:rsidRPr="00A05D48" w:rsidRDefault="00FD540C" w:rsidP="00FD540C">
      <w:pPr>
        <w:rPr>
          <w:rFonts w:ascii="Calibri" w:hAnsi="Calibri"/>
          <w:bCs/>
        </w:rPr>
      </w:pPr>
      <w:r>
        <w:rPr>
          <w:rFonts w:ascii="Calibri" w:hAnsi="Calibri"/>
          <w:bCs/>
        </w:rPr>
        <w:t>L’Ordine dei Farmacisti della provincia di Messina</w:t>
      </w:r>
      <w:r w:rsidR="00D92F54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</w:t>
      </w:r>
      <w:r w:rsidR="00D92F54">
        <w:rPr>
          <w:rFonts w:ascii="Calibri" w:hAnsi="Calibri"/>
          <w:bCs/>
        </w:rPr>
        <w:t>con Delibera del</w:t>
      </w:r>
      <w:r w:rsidRPr="00A05D48">
        <w:rPr>
          <w:rFonts w:ascii="Calibri" w:hAnsi="Calibri"/>
          <w:bCs/>
        </w:rPr>
        <w:t xml:space="preserve"> </w:t>
      </w:r>
      <w:r w:rsidRPr="008A548A">
        <w:rPr>
          <w:rFonts w:ascii="Calibri" w:hAnsi="Calibri"/>
          <w:bCs/>
        </w:rPr>
        <w:t>Consiglio Direttivo</w:t>
      </w:r>
      <w:r w:rsidR="00D92F54" w:rsidRPr="008A548A">
        <w:rPr>
          <w:rFonts w:ascii="Calibri" w:hAnsi="Calibri"/>
          <w:bCs/>
        </w:rPr>
        <w:t xml:space="preserve"> </w:t>
      </w:r>
      <w:r w:rsidR="008A548A">
        <w:rPr>
          <w:rFonts w:ascii="Calibri" w:hAnsi="Calibri"/>
          <w:bCs/>
        </w:rPr>
        <w:t>del 25 gennaio 2024</w:t>
      </w:r>
      <w:r w:rsidR="00D92F54">
        <w:rPr>
          <w:rFonts w:ascii="Calibri" w:hAnsi="Calibri"/>
          <w:bCs/>
        </w:rPr>
        <w:t xml:space="preserve">, approva </w:t>
      </w:r>
      <w:r>
        <w:rPr>
          <w:rFonts w:ascii="Calibri" w:hAnsi="Calibri"/>
          <w:bCs/>
        </w:rPr>
        <w:t xml:space="preserve">i seguenti </w:t>
      </w:r>
      <w:r w:rsidRPr="00A05D48">
        <w:rPr>
          <w:rFonts w:ascii="Calibri" w:hAnsi="Calibri"/>
          <w:bCs/>
        </w:rPr>
        <w:t>obiettivi strategici in materia di prevenzione della corruzione e della trasparenza</w:t>
      </w:r>
      <w:r>
        <w:rPr>
          <w:rFonts w:ascii="Calibri" w:hAnsi="Calibri"/>
          <w:bCs/>
        </w:rPr>
        <w:t xml:space="preserve"> per il triennio 2024-2026 </w:t>
      </w:r>
      <w:r w:rsidRPr="00D02E44">
        <w:rPr>
          <w:rFonts w:ascii="Calibri" w:hAnsi="Calibri"/>
          <w:bCs/>
        </w:rPr>
        <w:t>attuando le previsioni dell’art. 8 della L</w:t>
      </w:r>
      <w:r w:rsidR="00D92F54">
        <w:rPr>
          <w:rFonts w:ascii="Calibri" w:hAnsi="Calibri"/>
          <w:bCs/>
        </w:rPr>
        <w:t>.</w:t>
      </w:r>
      <w:r w:rsidRPr="00D02E44">
        <w:rPr>
          <w:rFonts w:ascii="Calibri" w:hAnsi="Calibri"/>
          <w:bCs/>
        </w:rPr>
        <w:t xml:space="preserve"> 190/2012</w:t>
      </w:r>
      <w:r>
        <w:rPr>
          <w:rFonts w:ascii="Calibri" w:hAnsi="Calibri"/>
          <w:bCs/>
        </w:rPr>
        <w:t>. Gli obiettivi sono stati valutati sia in relazione all’efficacia della prevenzione e all’irrobustimento del sistema interno di controllo, sia in relazione alla loro sostenibilità</w:t>
      </w:r>
      <w:r w:rsidR="00251E05">
        <w:rPr>
          <w:rFonts w:ascii="Calibri" w:hAnsi="Calibri"/>
          <w:bCs/>
        </w:rPr>
        <w:t>. T</w:t>
      </w:r>
      <w:r>
        <w:rPr>
          <w:rFonts w:ascii="Calibri" w:hAnsi="Calibri"/>
          <w:bCs/>
        </w:rPr>
        <w:t>ali obiettivi sono adottati in continuità con gli obiettivi del triennio 2023-2025 e tengono conto delle recenti novità normative e regolamentari che richiedono attuazione ed adeguamento.</w:t>
      </w:r>
    </w:p>
    <w:p w:rsidR="00FD540C" w:rsidRDefault="00FD540C" w:rsidP="00FD540C">
      <w:pPr>
        <w:rPr>
          <w:rFonts w:ascii="Calibri" w:hAnsi="Calibri"/>
          <w:bCs/>
        </w:rPr>
      </w:pPr>
      <w:r>
        <w:rPr>
          <w:rFonts w:ascii="Calibri" w:hAnsi="Calibri"/>
          <w:bCs/>
        </w:rPr>
        <w:t>Qui di seguito viene illustrato in formato tabellare, per ciascun obiettivo strategico approvato, le attività da svolgere, i soggetti responsabili dell’attuazione e il termine di completamento.</w:t>
      </w:r>
    </w:p>
    <w:tbl>
      <w:tblPr>
        <w:tblW w:w="14310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3260"/>
        <w:gridCol w:w="6516"/>
        <w:gridCol w:w="3230"/>
        <w:gridCol w:w="1304"/>
      </w:tblGrid>
      <w:tr w:rsidR="00251E05" w:rsidTr="00251E05">
        <w:trPr>
          <w:trHeight w:val="79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05" w:rsidRDefault="00251E05">
            <w:pPr>
              <w:pStyle w:val="Default"/>
              <w:spacing w:line="252" w:lineRule="auto"/>
              <w:jc w:val="center"/>
              <w:rPr>
                <w:rFonts w:ascii="Calibri" w:hAnsi="Calibri" w:cs="Calibri"/>
                <w:b/>
                <w:bCs/>
                <w:smallCaps/>
                <w:color w:val="860000"/>
              </w:rPr>
            </w:pPr>
          </w:p>
          <w:p w:rsidR="00251E05" w:rsidRDefault="00251E05">
            <w:pPr>
              <w:pStyle w:val="Default"/>
              <w:spacing w:line="252" w:lineRule="auto"/>
              <w:jc w:val="center"/>
              <w:rPr>
                <w:rFonts w:ascii="Calibri" w:hAnsi="Calibri" w:cs="Calibri"/>
                <w:b/>
                <w:bCs/>
                <w:smallCaps/>
                <w:color w:val="860000"/>
              </w:rPr>
            </w:pPr>
            <w:r>
              <w:rPr>
                <w:rFonts w:ascii="Calibri" w:hAnsi="Calibri" w:cs="Calibri"/>
                <w:b/>
                <w:bCs/>
                <w:smallCaps/>
                <w:color w:val="860000"/>
              </w:rPr>
              <w:t>Obiettivo strategico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05" w:rsidRDefault="00251E05">
            <w:pPr>
              <w:pStyle w:val="Default"/>
              <w:spacing w:line="252" w:lineRule="auto"/>
              <w:jc w:val="center"/>
              <w:rPr>
                <w:rFonts w:ascii="Calibri" w:hAnsi="Calibri" w:cs="Calibri"/>
                <w:b/>
                <w:bCs/>
                <w:smallCaps/>
                <w:color w:val="860000"/>
              </w:rPr>
            </w:pPr>
          </w:p>
          <w:p w:rsidR="00251E05" w:rsidRDefault="00251E05">
            <w:pPr>
              <w:pStyle w:val="Default"/>
              <w:spacing w:line="252" w:lineRule="auto"/>
              <w:jc w:val="center"/>
              <w:rPr>
                <w:rFonts w:ascii="Calibri" w:hAnsi="Calibri" w:cs="Calibri"/>
                <w:b/>
                <w:bCs/>
                <w:smallCaps/>
                <w:color w:val="860000"/>
              </w:rPr>
            </w:pPr>
            <w:r>
              <w:rPr>
                <w:rFonts w:ascii="Calibri" w:hAnsi="Calibri" w:cs="Calibri"/>
                <w:b/>
                <w:bCs/>
                <w:smallCaps/>
                <w:color w:val="860000"/>
              </w:rPr>
              <w:t>Azioni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05" w:rsidRDefault="00251E05">
            <w:pPr>
              <w:pStyle w:val="Default"/>
              <w:spacing w:line="252" w:lineRule="auto"/>
              <w:jc w:val="center"/>
              <w:rPr>
                <w:rFonts w:ascii="Calibri" w:hAnsi="Calibri" w:cs="Calibri"/>
                <w:b/>
                <w:bCs/>
                <w:smallCaps/>
                <w:color w:val="860000"/>
              </w:rPr>
            </w:pPr>
          </w:p>
          <w:p w:rsidR="00251E05" w:rsidRDefault="00251E05">
            <w:pPr>
              <w:pStyle w:val="Default"/>
              <w:spacing w:line="252" w:lineRule="auto"/>
              <w:jc w:val="center"/>
              <w:rPr>
                <w:rFonts w:ascii="Calibri" w:hAnsi="Calibri" w:cs="Calibri"/>
                <w:b/>
                <w:bCs/>
                <w:smallCaps/>
                <w:color w:val="860000"/>
              </w:rPr>
            </w:pPr>
            <w:r>
              <w:rPr>
                <w:rFonts w:ascii="Calibri" w:hAnsi="Calibri" w:cs="Calibri"/>
                <w:b/>
                <w:bCs/>
                <w:smallCaps/>
                <w:color w:val="860000"/>
              </w:rPr>
              <w:t>Soggetto responsabile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4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05" w:rsidRDefault="00251E05">
            <w:pPr>
              <w:pStyle w:val="Default"/>
              <w:spacing w:line="252" w:lineRule="auto"/>
              <w:jc w:val="center"/>
              <w:rPr>
                <w:rFonts w:ascii="Calibri" w:hAnsi="Calibri" w:cs="Calibri"/>
                <w:b/>
                <w:bCs/>
                <w:smallCaps/>
                <w:color w:val="860000"/>
              </w:rPr>
            </w:pPr>
          </w:p>
          <w:p w:rsidR="00251E05" w:rsidRDefault="00251E05">
            <w:pPr>
              <w:pStyle w:val="Default"/>
              <w:spacing w:line="252" w:lineRule="auto"/>
              <w:jc w:val="center"/>
              <w:rPr>
                <w:rFonts w:ascii="Calibri" w:hAnsi="Calibri" w:cs="Calibri"/>
                <w:b/>
                <w:bCs/>
                <w:smallCaps/>
                <w:color w:val="860000"/>
              </w:rPr>
            </w:pPr>
            <w:r>
              <w:rPr>
                <w:rFonts w:ascii="Calibri" w:hAnsi="Calibri" w:cs="Calibri"/>
                <w:b/>
                <w:bCs/>
                <w:smallCaps/>
                <w:color w:val="860000"/>
              </w:rPr>
              <w:t xml:space="preserve">Tempistica </w:t>
            </w:r>
          </w:p>
        </w:tc>
      </w:tr>
      <w:tr w:rsidR="00251E05" w:rsidTr="00251E05">
        <w:trPr>
          <w:trHeight w:val="1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Adozione PTPCT per il triennio 2024-2026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 considerazione delle indicazioni di ANAC (cfr. FAQ 3 Ambito soggettivo di applicazione l. 190/2012 alle amministrazioni pubbliche (art. 1, co. 2-bis, l. 190/2012)</w:t>
            </w:r>
            <w:r>
              <w:rPr>
                <w:rStyle w:val="Rimandonotaapidipagina"/>
                <w:rFonts w:ascii="Calibri" w:hAnsi="Calibri" w:cs="Calibri"/>
                <w:sz w:val="20"/>
                <w:szCs w:val="20"/>
              </w:rPr>
              <w:footnoteReference w:customMarkFollows="1" w:id="2"/>
              <w:t>[1]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l’Ordine procederà ad adottare il PTPCT in luogo del PIAO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Consiglio Direttivo e RPCT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31 gennaio 2024 </w:t>
            </w:r>
          </w:p>
        </w:tc>
      </w:tr>
      <w:tr w:rsidR="00251E05" w:rsidTr="00251E05">
        <w:trPr>
          <w:trHeight w:val="97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Assicurare nel continuo un idoneo livello di trasparenza dell’Ordine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 w:rsidP="00251E05">
            <w:pPr>
              <w:pStyle w:val="Default"/>
              <w:numPr>
                <w:ilvl w:val="0"/>
                <w:numId w:val="4"/>
              </w:numPr>
              <w:adjustRightInd/>
              <w:spacing w:line="252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Aggiornamento costante della sezione Amministrazione Trasparente</w:t>
            </w:r>
          </w:p>
          <w:p w:rsidR="00251E05" w:rsidRDefault="00251E05" w:rsidP="00251E05">
            <w:pPr>
              <w:pStyle w:val="Default"/>
              <w:numPr>
                <w:ilvl w:val="0"/>
                <w:numId w:val="4"/>
              </w:numPr>
              <w:adjustRightInd/>
              <w:spacing w:line="252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integrazione dei dati già pubblicati con dati, informazioni e documenti la cui pubblicazione è obbligatoria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RPCT e Consigliere Segretario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dicembre 2024</w:t>
            </w:r>
          </w:p>
        </w:tc>
      </w:tr>
      <w:tr w:rsidR="00251E05" w:rsidTr="00B275D9">
        <w:trPr>
          <w:trHeight w:val="6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251E05" w:rsidRDefault="00251E05">
            <w:pPr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Condivisione delle attività svolte di anticorruzione e trasparenza durante le Assemblee degli iscritti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Consiglio Direttivo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1E05" w:rsidRDefault="00251E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1E05" w:rsidTr="00B275D9">
        <w:trPr>
          <w:trHeight w:val="9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251E05" w:rsidRDefault="00B275D9">
            <w:pPr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color w:val="000000"/>
                <w:sz w:val="20"/>
                <w:szCs w:val="20"/>
              </w:rPr>
              <w:t>Whistleblowing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Adozione di linee guida interne per assicurare la tutela del segnalante (Whistleblowing) in coerenza con le disposizioni del D.Lgs. 24/2023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RPCT e Consiglio Direttivo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1E05" w:rsidRDefault="00E558F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 marzo 2024</w:t>
            </w:r>
          </w:p>
        </w:tc>
      </w:tr>
      <w:tr w:rsidR="00251E05" w:rsidTr="00251E05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Revisione governance interna – adozione nuovo organigramma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Revisione organizzazione interna a fronte di modifiche normative; in particolare</w:t>
            </w:r>
          </w:p>
          <w:p w:rsidR="00251E05" w:rsidRDefault="00251E05" w:rsidP="00251E05">
            <w:pPr>
              <w:pStyle w:val="Default"/>
              <w:numPr>
                <w:ilvl w:val="0"/>
                <w:numId w:val="5"/>
              </w:numPr>
              <w:adjustRightInd/>
              <w:spacing w:line="252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Individuazione soggetto deputato a rendere l’attestazione sull’assolvimento degli obblighi di trasparenza (in luogo del RPCT)</w:t>
            </w:r>
          </w:p>
          <w:p w:rsidR="00251E05" w:rsidRDefault="00251E05" w:rsidP="00251E05">
            <w:pPr>
              <w:pStyle w:val="Default"/>
              <w:numPr>
                <w:ilvl w:val="0"/>
                <w:numId w:val="5"/>
              </w:numPr>
              <w:adjustRightInd/>
              <w:spacing w:line="252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Individuazione del ruolo di RTD- Responsabile Transizione Digitale</w:t>
            </w:r>
            <w:r w:rsidR="00B275D9">
              <w:rPr>
                <w:rFonts w:ascii="Calibri" w:eastAsia="Times New Roman" w:hAnsi="Calibri" w:cs="Calibri"/>
                <w:sz w:val="20"/>
                <w:szCs w:val="20"/>
              </w:rPr>
              <w:t xml:space="preserve"> (funzionale alla digitalizzazione dei contratti)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Consiglio Direttivo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E558FE">
              <w:rPr>
                <w:rFonts w:ascii="Calibri" w:hAnsi="Calibri" w:cs="Calibri"/>
                <w:sz w:val="20"/>
                <w:szCs w:val="20"/>
              </w:rPr>
              <w:t>1</w:t>
            </w:r>
            <w:r w:rsidR="005C7D77">
              <w:rPr>
                <w:rFonts w:ascii="Calibri" w:hAnsi="Calibri" w:cs="Calibri"/>
                <w:sz w:val="20"/>
                <w:szCs w:val="20"/>
              </w:rPr>
              <w:t xml:space="preserve">marzo </w:t>
            </w:r>
            <w:r>
              <w:rPr>
                <w:rFonts w:ascii="Calibri" w:hAnsi="Calibri" w:cs="Calibri"/>
                <w:sz w:val="20"/>
                <w:szCs w:val="20"/>
              </w:rPr>
              <w:t>2024</w:t>
            </w:r>
          </w:p>
        </w:tc>
      </w:tr>
      <w:tr w:rsidR="00251E05" w:rsidTr="00251E05">
        <w:trPr>
          <w:trHeight w:val="131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 xml:space="preserve">Formazione dei dipendenti e Consiglieri sugli obblighi derivanti dalla normativa di anticorruzione e trasparenza e sulle responsabilità da inadempimento 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Adesione al piano di formazione disposto dalla FOFI a beneficio degli Ordini e frequenza delle sessioni formative da parte di dipendenti, RPCT, Consiglieri dell’Ordine, organo di revisione, collaboratori/consulenti</w:t>
            </w:r>
          </w:p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RPCT e Consigliere Segretario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dicembre 2024</w:t>
            </w:r>
          </w:p>
        </w:tc>
      </w:tr>
      <w:tr w:rsidR="00251E05" w:rsidTr="00251E05">
        <w:trPr>
          <w:trHeight w:val="92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 xml:space="preserve">Programmazione di misure di prevenzione specifiche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Predisposizione regolamento intero per gli affidamenti</w:t>
            </w:r>
          </w:p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Consiglio Direttivo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dicembre 2024</w:t>
            </w:r>
          </w:p>
        </w:tc>
      </w:tr>
      <w:tr w:rsidR="00251E05" w:rsidTr="00251E05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 xml:space="preserve">Revisione Codice specifico dei dipendenti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Revisione del codice dei dipendenti per adeguarsi alle disposizioni del DPR 81/2023, che modifica il DPR 62/2013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Consiglio Direttivo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dicembre 2024</w:t>
            </w:r>
          </w:p>
        </w:tc>
      </w:tr>
      <w:tr w:rsidR="00251E05" w:rsidTr="00B275D9">
        <w:trPr>
          <w:trHeight w:val="9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Piano di Digitalizzazione dell’ente - Digitalizzazione dei contratti pubblici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 w:rsidP="00B275D9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Adozione del piano di digitalizzazione in conformità alle disposizioni di legge e delle indicazioni di AGID; in particolare</w:t>
            </w:r>
            <w:r w:rsidR="00B275D9">
              <w:rPr>
                <w:rFonts w:ascii="Calibri" w:hAnsi="Calibri" w:cs="Calibri"/>
                <w:sz w:val="20"/>
                <w:szCs w:val="20"/>
              </w:rPr>
              <w:t xml:space="preserve"> individuazione di Piattaforma certificata per consentire l’interoperabilità con la BDNCP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Consiglio Direttivo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E05" w:rsidRDefault="00251E05">
            <w:pPr>
              <w:pStyle w:val="Default"/>
              <w:spacing w:line="252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luglio 2024</w:t>
            </w:r>
          </w:p>
        </w:tc>
      </w:tr>
    </w:tbl>
    <w:p w:rsidR="00FD540C" w:rsidRDefault="00FD540C"/>
    <w:sectPr w:rsidR="00FD540C" w:rsidSect="001217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236" w:rsidRDefault="00575236" w:rsidP="00FD540C">
      <w:pPr>
        <w:spacing w:after="0" w:line="240" w:lineRule="auto"/>
      </w:pPr>
      <w:r>
        <w:separator/>
      </w:r>
    </w:p>
  </w:endnote>
  <w:endnote w:type="continuationSeparator" w:id="1">
    <w:p w:rsidR="00575236" w:rsidRDefault="00575236" w:rsidP="00FD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62" w:rsidRDefault="00311A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62" w:rsidRDefault="00311A6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62" w:rsidRDefault="00311A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236" w:rsidRDefault="00575236" w:rsidP="00FD540C">
      <w:pPr>
        <w:spacing w:after="0" w:line="240" w:lineRule="auto"/>
      </w:pPr>
      <w:r>
        <w:separator/>
      </w:r>
    </w:p>
  </w:footnote>
  <w:footnote w:type="continuationSeparator" w:id="1">
    <w:p w:rsidR="00575236" w:rsidRDefault="00575236" w:rsidP="00FD540C">
      <w:pPr>
        <w:spacing w:after="0" w:line="240" w:lineRule="auto"/>
      </w:pPr>
      <w:r>
        <w:continuationSeparator/>
      </w:r>
    </w:p>
  </w:footnote>
  <w:footnote w:id="2">
    <w:p w:rsidR="00251E05" w:rsidRDefault="00251E05" w:rsidP="00251E05">
      <w:pPr>
        <w:pStyle w:val="Testonotaapidipagina"/>
        <w:rPr>
          <w:rFonts w:ascii="Calibri" w:eastAsiaTheme="minorHAnsi" w:hAnsi="Calibri" w:cs="Calibri"/>
          <w:i/>
          <w:iCs/>
          <w:color w:val="000000"/>
          <w:sz w:val="16"/>
          <w:szCs w:val="16"/>
        </w:rPr>
      </w:pPr>
      <w:r>
        <w:rPr>
          <w:rStyle w:val="Rimandonotaapidipagina"/>
        </w:rPr>
        <w:t>[1]</w:t>
      </w:r>
      <w:r>
        <w:t xml:space="preserve"> “</w:t>
      </w:r>
      <w:r>
        <w:rPr>
          <w:i/>
          <w:iCs/>
          <w:sz w:val="16"/>
          <w:szCs w:val="16"/>
        </w:rPr>
        <w:t>FAQ 3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 Gli ordini e i collegi professionali sono tenuti ad adottare il Piano integrato di attività e organizzazione o (PIAO) o il Piano triennale per la prevenzione della corruzione e della trasparenza (PTCPT)?</w:t>
      </w:r>
    </w:p>
    <w:p w:rsidR="00251E05" w:rsidRDefault="00251E05" w:rsidP="00251E05">
      <w:pPr>
        <w:pStyle w:val="Testonotaapidipagina"/>
        <w:rPr>
          <w:rFonts w:ascii="Calibri" w:hAnsi="Calibri" w:cs="Calibri"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ANAC nel PNA 2022 (§ 2.2.) ha chiarito che gli ordini professionali, se non tenuti per legge ad adottare i piani confluiti nel PIAO diversi dalla sezione sulla prevenzione della corruzione e trasparenza, predispongono il PTPCT.</w:t>
      </w:r>
    </w:p>
    <w:p w:rsidR="00251E05" w:rsidRDefault="00251E05" w:rsidP="00251E05">
      <w:pPr>
        <w:pStyle w:val="Testonotaapidipagina"/>
        <w:rPr>
          <w:rFonts w:ascii="Calibri" w:hAnsi="Calibri" w:cs="Calibri"/>
          <w:i/>
          <w:iCs/>
          <w:color w:val="000000"/>
          <w:sz w:val="16"/>
          <w:szCs w:val="16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Poiché, anche sentito il Dipartimento della Funzione Pubblica, </w:t>
      </w: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 xml:space="preserve">risulta che gli ordini e i collegi professionali non sono tenuti a predisporre alcune delle sezioni che compongono il PIAO, essi adottano il PTPCT e non il PIAO. </w:t>
      </w:r>
    </w:p>
    <w:p w:rsidR="00251E05" w:rsidRDefault="00251E05" w:rsidP="00251E05">
      <w:pPr>
        <w:pStyle w:val="Testonotaapidipagina"/>
      </w:pPr>
      <w:r>
        <w:rPr>
          <w:rFonts w:ascii="Calibri" w:hAnsi="Calibri" w:cs="Calibri"/>
          <w:i/>
          <w:iCs/>
          <w:color w:val="000000"/>
          <w:sz w:val="16"/>
          <w:szCs w:val="16"/>
        </w:rPr>
        <w:t>Resta fermo che agli ordini e ai collegi professionali si applica la delibera ANAC n. 777 del 24 novembre 2021 con cui ANAC ha introdotto numerose semplificazioni per l‘applicazione a tali enti della normativa anticorruzione e trasparen</w:t>
      </w:r>
      <w:r>
        <w:rPr>
          <w:rFonts w:ascii="Calibri" w:hAnsi="Calibri" w:cs="Calibri"/>
          <w:color w:val="000000"/>
          <w:sz w:val="16"/>
          <w:szCs w:val="16"/>
        </w:rPr>
        <w:t xml:space="preserve">za”; cfr. </w:t>
      </w:r>
      <w:hyperlink r:id="rId1" w:history="1">
        <w:r>
          <w:rPr>
            <w:rStyle w:val="Collegamentoipertestuale"/>
            <w:rFonts w:ascii="Calibri" w:hAnsi="Calibri" w:cs="Calibri"/>
            <w:sz w:val="16"/>
            <w:szCs w:val="16"/>
          </w:rPr>
          <w:t>https://www.anticorruzione.it/-/ambito-soggettivo-di-applicazione-l.-190/2012-alle-amministrazioni-pubbliche-art.-1-co.-2-bis-l.-190/2012-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62" w:rsidRDefault="00311A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0C" w:rsidRDefault="00FD540C">
    <w:pPr>
      <w:pStyle w:val="Intestazione"/>
    </w:pP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A62" w:rsidRDefault="00311A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BD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13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035B"/>
    <w:multiLevelType w:val="hybridMultilevel"/>
    <w:tmpl w:val="FFFFFFFF"/>
    <w:lvl w:ilvl="0" w:tplc="676E6BA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40C"/>
    <w:rsid w:val="0001579F"/>
    <w:rsid w:val="001217F3"/>
    <w:rsid w:val="0024655F"/>
    <w:rsid w:val="00251E05"/>
    <w:rsid w:val="00311A62"/>
    <w:rsid w:val="00362658"/>
    <w:rsid w:val="00575236"/>
    <w:rsid w:val="005C7D77"/>
    <w:rsid w:val="007340AA"/>
    <w:rsid w:val="008A548A"/>
    <w:rsid w:val="008D53F0"/>
    <w:rsid w:val="00AE0DD8"/>
    <w:rsid w:val="00AF27C0"/>
    <w:rsid w:val="00B275D9"/>
    <w:rsid w:val="00D42727"/>
    <w:rsid w:val="00D92F54"/>
    <w:rsid w:val="00E05726"/>
    <w:rsid w:val="00E558FE"/>
    <w:rsid w:val="00F26A65"/>
    <w:rsid w:val="00F94288"/>
    <w:rsid w:val="00FD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40C"/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540C"/>
    <w:pPr>
      <w:keepNext/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D540C"/>
    <w:rPr>
      <w:color w:val="0000FF"/>
      <w:u w:val="single"/>
    </w:rPr>
  </w:style>
  <w:style w:type="paragraph" w:customStyle="1" w:styleId="Default">
    <w:name w:val="Default"/>
    <w:rsid w:val="00FD54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D540C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qFormat/>
    <w:rsid w:val="00FD540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D5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40C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FD54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40C"/>
    <w:rPr>
      <w:kern w:val="0"/>
    </w:rPr>
  </w:style>
  <w:style w:type="paragraph" w:customStyle="1" w:styleId="Normal">
    <w:name w:val="[Normal]"/>
    <w:uiPriority w:val="99"/>
    <w:rsid w:val="00FD5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540C"/>
    <w:rPr>
      <w:rFonts w:asciiTheme="majorHAnsi" w:eastAsiaTheme="majorEastAsia" w:hAnsiTheme="majorHAnsi" w:cs="Times New Roman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ticorruzione.it/-/ambito-soggettivo-di-applicazione-l.-190/2012-alle-amministrazioni-pubbliche-art.-1-co.-2-bis-l.-190/2012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Castellani</dc:creator>
  <cp:keywords/>
  <dc:description/>
  <cp:lastModifiedBy>Lavoro</cp:lastModifiedBy>
  <cp:revision>10</cp:revision>
  <cp:lastPrinted>2024-01-29T10:48:00Z</cp:lastPrinted>
  <dcterms:created xsi:type="dcterms:W3CDTF">2024-01-26T12:24:00Z</dcterms:created>
  <dcterms:modified xsi:type="dcterms:W3CDTF">2024-01-29T10:48:00Z</dcterms:modified>
</cp:coreProperties>
</file>